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Arial" w:hAnsi="Arial"/>
          <w:b/>
          <w:color w:val="1A73E8"/>
          <w:sz w:val="48"/>
        </w:rPr>
        <w:t>ClassArchitect Compliance and Data Protection Fact Sheet</w:t>
      </w:r>
    </w:p>
    <w:p>
      <w:pPr>
        <w:spacing w:after="400"/>
      </w:pPr>
      <w:r>
        <w:rPr>
          <w:rFonts w:ascii="Arial" w:hAnsi="Arial"/>
          <w:color w:val="808080"/>
          <w:sz w:val="20"/>
        </w:rPr>
        <w:t>Audience: School IT Administrators, Data Protection Officers (DPOs), and Educators</w:t>
        <w:br/>
        <w:t>Last Updated: June 2026</w:t>
      </w:r>
    </w:p>
    <w:p>
      <w:pPr>
        <w:pStyle w:val="Heading2"/>
        <w:spacing w:before="240" w:after="120"/>
      </w:pPr>
      <w:r>
        <w:rPr>
          <w:rFonts w:ascii="Arial" w:hAnsi="Arial"/>
          <w:color w:val="333333"/>
        </w:rPr>
        <w:t>1. Introduction</w:t>
      </w:r>
    </w:p>
    <w:p>
      <w:pPr>
        <w:spacing w:line="300" w:lineRule="auto"/>
      </w:pPr>
      <w:r>
        <w:t>ClassArchitect is committed to maintaining the highest standards of student data privacy and transparency. This fact sheet outlines the technical and legal safeguards implemented to ensure full compliance with the UK GDPR and the Data Protection Act 2018 when utilizing artificial intelligence for automated educational feedback and grading.</w:t>
      </w:r>
    </w:p>
    <w:p>
      <w:pPr>
        <w:pStyle w:val="Heading2"/>
        <w:spacing w:before="240" w:after="120"/>
      </w:pPr>
      <w:r>
        <w:rPr>
          <w:rFonts w:ascii="Arial" w:hAnsi="Arial"/>
          <w:color w:val="333333"/>
        </w:rPr>
        <w:t>2. Infrastructure and Legal Framework</w:t>
      </w:r>
    </w:p>
    <w:p>
      <w:r>
        <w:t>Unlike consumer-grade, informal AI tools, ClassArchitect operates on professional, enterprise-grade infrastructure:</w:t>
      </w:r>
    </w:p>
    <w:p>
      <w:pPr>
        <w:pStyle w:val="ListBullet"/>
      </w:pPr>
      <w:r>
        <w:rPr>
          <w:b/>
        </w:rPr>
        <w:t xml:space="preserve">Processor: </w:t>
      </w:r>
      <w:r>
        <w:t>Google Cloud Vertex AI</w:t>
      </w:r>
    </w:p>
    <w:p>
      <w:pPr>
        <w:pStyle w:val="ListBullet"/>
      </w:pPr>
      <w:r>
        <w:rPr>
          <w:b/>
        </w:rPr>
        <w:t xml:space="preserve">Contractual Basis: </w:t>
      </w:r>
      <w:r>
        <w:t>Operations are governed by a formal Cloud Data Processing Addendum (CDPA) with Google Cloud.</w:t>
      </w:r>
    </w:p>
    <w:p>
      <w:pPr>
        <w:pStyle w:val="ListBullet"/>
      </w:pPr>
      <w:r>
        <w:rPr>
          <w:b/>
        </w:rPr>
        <w:t xml:space="preserve">Data Ownership: </w:t>
      </w:r>
      <w:r>
        <w:t>Student work and institutional data remain strictly proprietary and are never utilized for model training.</w:t>
      </w:r>
    </w:p>
    <w:p>
      <w:pPr>
        <w:pStyle w:val="Heading2"/>
        <w:spacing w:before="240" w:after="120"/>
      </w:pPr>
      <w:r>
        <w:rPr>
          <w:rFonts w:ascii="Arial" w:hAnsi="Arial"/>
          <w:color w:val="333333"/>
        </w:rPr>
        <w:t>3. Technical Safeguards: The Redaction Gateway</w:t>
      </w:r>
    </w:p>
    <w:p>
      <w:r>
        <w:t>To adhere strictly to the GDPR principle of Data Minimization, ClassArchitect implements a pre-processing pipeline:</w:t>
      </w:r>
    </w:p>
    <w:p>
      <w:pPr>
        <w:pStyle w:val="ListBullet"/>
      </w:pPr>
      <w:r>
        <w:rPr>
          <w:b/>
        </w:rPr>
        <w:t xml:space="preserve">PII Scrubbing: </w:t>
      </w:r>
      <w:r>
        <w:t>Before student submissions are transmitted to the AI processor, names, student IDs, email addresses, and school names are automatically scrubbed and redacted.</w:t>
      </w:r>
    </w:p>
    <w:p>
      <w:pPr>
        <w:pStyle w:val="ListBullet"/>
      </w:pPr>
      <w:r>
        <w:rPr>
          <w:b/>
        </w:rPr>
        <w:t xml:space="preserve">Pseudonymization: </w:t>
      </w:r>
      <w:r>
        <w:t>Real-world identities are mapped to secure, encrypted local identifiers on our secure servers, entirely isolating the AI endpoint from actual student personal data.</w:t>
      </w:r>
    </w:p>
    <w:p>
      <w:pPr>
        <w:pStyle w:val="Heading2"/>
        <w:spacing w:before="240" w:after="120"/>
      </w:pPr>
      <w:r>
        <w:rPr>
          <w:rFonts w:ascii="Arial" w:hAnsi="Arial"/>
          <w:color w:val="333333"/>
        </w:rPr>
        <w:t>4. Compliance Comparison</w:t>
      </w:r>
    </w:p>
    <w:tbl>
      <w:tblPr>
        <w:tblStyle w:val="TableGrid"/>
        <w:tblW w:type="auto" w:w="0"/>
        <w:tblLook w:firstColumn="1" w:firstRow="1" w:lastColumn="0" w:lastRow="0" w:noHBand="0" w:noVBand="1" w:val="04A0"/>
      </w:tblPr>
      <w:tblGrid>
        <w:gridCol w:w="3120"/>
        <w:gridCol w:w="3120"/>
        <w:gridCol w:w="3120"/>
      </w:tblGrid>
      <w:tr>
        <w:tc>
          <w:tcPr>
            <w:tcW w:type="dxa" w:w="3120"/>
          </w:tcPr>
          <w:p>
            <w:r>
              <w:rPr>
                <w:b/>
              </w:rPr>
              <w:t>Feature</w:t>
            </w:r>
          </w:p>
        </w:tc>
        <w:tc>
          <w:tcPr>
            <w:tcW w:type="dxa" w:w="3120"/>
          </w:tcPr>
          <w:p>
            <w:r>
              <w:rPr>
                <w:b/>
              </w:rPr>
              <w:t>Google AI Studio (Consumer/Dev)</w:t>
            </w:r>
          </w:p>
        </w:tc>
        <w:tc>
          <w:tcPr>
            <w:tcW w:type="dxa" w:w="3120"/>
          </w:tcPr>
          <w:p>
            <w:r>
              <w:rPr>
                <w:b/>
              </w:rPr>
              <w:t>Vertex AI (ClassArchitect Prod)</w:t>
            </w:r>
          </w:p>
        </w:tc>
      </w:tr>
      <w:tr>
        <w:tc>
          <w:tcPr>
            <w:tcW w:type="dxa" w:w="3120"/>
          </w:tcPr>
          <w:p>
            <w:r>
              <w:t>Data Processing Addendum (DPA)</w:t>
            </w:r>
          </w:p>
        </w:tc>
        <w:tc>
          <w:tcPr>
            <w:tcW w:type="dxa" w:w="3120"/>
          </w:tcPr>
          <w:p>
            <w:r>
              <w:t>No</w:t>
            </w:r>
          </w:p>
        </w:tc>
        <w:tc>
          <w:tcPr>
            <w:tcW w:type="dxa" w:w="3120"/>
          </w:tcPr>
          <w:p>
            <w:r>
              <w:t>Yes</w:t>
            </w:r>
          </w:p>
        </w:tc>
      </w:tr>
      <w:tr>
        <w:tc>
          <w:tcPr>
            <w:tcW w:type="dxa" w:w="3120"/>
          </w:tcPr>
          <w:p>
            <w:r>
              <w:t>Regional Data Residency</w:t>
            </w:r>
          </w:p>
        </w:tc>
        <w:tc>
          <w:tcPr>
            <w:tcW w:type="dxa" w:w="3120"/>
          </w:tcPr>
          <w:p>
            <w:r>
              <w:t>No (Global routing)</w:t>
            </w:r>
          </w:p>
        </w:tc>
        <w:tc>
          <w:tcPr>
            <w:tcW w:type="dxa" w:w="3120"/>
          </w:tcPr>
          <w:p>
            <w:r>
              <w:t>Yes (UK/EU Region locked)</w:t>
            </w:r>
          </w:p>
        </w:tc>
      </w:tr>
      <w:tr>
        <w:tc>
          <w:tcPr>
            <w:tcW w:type="dxa" w:w="3120"/>
          </w:tcPr>
          <w:p>
            <w:r>
              <w:t>PII Redaction Layer</w:t>
            </w:r>
          </w:p>
        </w:tc>
        <w:tc>
          <w:tcPr>
            <w:tcW w:type="dxa" w:w="3120"/>
          </w:tcPr>
          <w:p>
            <w:r>
              <w:t>Optional / Manual</w:t>
            </w:r>
          </w:p>
        </w:tc>
        <w:tc>
          <w:tcPr>
            <w:tcW w:type="dxa" w:w="3120"/>
          </w:tcPr>
          <w:p>
            <w:r>
              <w:t>Mandatory / Automated</w:t>
            </w:r>
          </w:p>
        </w:tc>
      </w:tr>
      <w:tr>
        <w:tc>
          <w:tcPr>
            <w:tcW w:type="dxa" w:w="3120"/>
          </w:tcPr>
          <w:p>
            <w:r>
              <w:t>Abuse Monitoring Retention</w:t>
            </w:r>
          </w:p>
        </w:tc>
        <w:tc>
          <w:tcPr>
            <w:tcW w:type="dxa" w:w="3120"/>
          </w:tcPr>
          <w:p>
            <w:r>
              <w:t>Up to 55 days</w:t>
            </w:r>
          </w:p>
        </w:tc>
        <w:tc>
          <w:tcPr>
            <w:tcW w:type="dxa" w:w="3120"/>
          </w:tcPr>
          <w:p>
            <w:r>
              <w:t>Stateless (Transient processing)</w:t>
            </w:r>
          </w:p>
        </w:tc>
      </w:tr>
    </w:tbl>
    <w:p>
      <w:pPr>
        <w:pStyle w:val="Heading2"/>
        <w:spacing w:before="240" w:after="120"/>
      </w:pPr>
      <w:r>
        <w:rPr>
          <w:rFonts w:ascii="Arial" w:hAnsi="Arial"/>
          <w:color w:val="333333"/>
        </w:rPr>
        <w:t>5. Data Residency &amp; Location</w:t>
      </w:r>
    </w:p>
    <w:p>
      <w:r>
        <w:t>All API calls and computational processing are pinned strictly to the EU/UK region (e.g., europe-west2), ensuring data transit remains within approved geographic boundaries compliant with European data protection regulations.</w:t>
      </w:r>
    </w:p>
    <w:p>
      <w:pPr>
        <w:pStyle w:val="Heading2"/>
        <w:spacing w:before="240" w:after="120"/>
      </w:pPr>
      <w:r>
        <w:rPr>
          <w:rFonts w:ascii="Arial" w:hAnsi="Arial"/>
          <w:color w:val="333333"/>
        </w:rPr>
        <w:t>6. Human-in-the-Loop &amp; Accountability</w:t>
      </w:r>
    </w:p>
    <w:p>
      <w:r>
        <w:t>To comply with GDPR regulations regarding automated individual decision-making:</w:t>
      </w:r>
    </w:p>
    <w:p>
      <w:pPr>
        <w:pStyle w:val="ListBullet"/>
      </w:pPr>
      <w:r>
        <w:t>AI-generated grading and feedback function strictly as formative recommendations.</w:t>
      </w:r>
    </w:p>
    <w:p>
      <w:pPr>
        <w:pStyle w:val="ListBullet"/>
      </w:pPr>
      <w:r>
        <w:t>Educators retain full administrative control and responsibility over final marks and evaluations.</w:t>
      </w:r>
    </w:p>
    <w:p>
      <w:pPr>
        <w:pStyle w:val="ListBullet"/>
      </w:pPr>
      <w:r>
        <w:t>Students retain the right to request manual, human oversight of any assessment.</w:t>
      </w:r>
    </w:p>
    <w:p>
      <w:pPr>
        <w:pStyle w:val="Heading2"/>
        <w:spacing w:before="240" w:after="120"/>
      </w:pPr>
      <w:r>
        <w:rPr>
          <w:rFonts w:ascii="Arial" w:hAnsi="Arial"/>
          <w:color w:val="333333"/>
        </w:rPr>
        <w:t>7. Summary of Privacy Commitments</w:t>
      </w:r>
    </w:p>
    <w:p>
      <w:r>
        <w:t>ClassArchitect does not retain student submissions on third-party servers. Data is processed transiently, stateless, and instantly removed from active memory upon task completion. For full details, please review our public Privacy Policy accessible on the platform homepage.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